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№_____</w:t>
      </w:r>
      <w:r/>
    </w:p>
    <w:p>
      <w:pPr>
        <w:pStyle w:val="845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поставк</w:t>
      </w:r>
      <w:r>
        <w:rPr>
          <w:rFonts w:ascii="Times New Roman" w:hAnsi="Times New Roman" w:eastAsia="Tahoma" w:cs="Times New Roman"/>
          <w:b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вторичных ресурсов</w:t>
      </w:r>
      <w:r/>
    </w:p>
    <w:p>
      <w:pPr>
        <w:pStyle w:val="845"/>
        <w:jc w:val="left"/>
        <w:rPr>
          <w:rFonts w:ascii="Times New Roman" w:hAnsi="Times New Roman" w:eastAsia="Tahoma" w:cs="Times New Roman"/>
          <w:b/>
          <w:sz w:val="24"/>
          <w:szCs w:val="24"/>
        </w:rPr>
      </w:pPr>
      <w:r>
        <w:rPr>
          <w:rFonts w:ascii="Times New Roman" w:hAnsi="Times New Roman" w:eastAsia="Tahoma" w:cs="Times New Roman"/>
          <w:b/>
          <w:sz w:val="24"/>
          <w:szCs w:val="24"/>
        </w:rPr>
      </w:r>
      <w:r>
        <w:rPr>
          <w:rFonts w:ascii="Times New Roman" w:hAnsi="Times New Roman" w:eastAsia="Tahoma" w:cs="Times New Roman"/>
          <w:b/>
          <w:sz w:val="24"/>
          <w:szCs w:val="24"/>
        </w:rPr>
      </w:r>
      <w:r>
        <w:rPr>
          <w:rFonts w:ascii="Times New Roman" w:hAnsi="Times New Roman" w:eastAsia="Tahoma" w:cs="Times New Roman"/>
          <w:b/>
          <w:sz w:val="24"/>
          <w:szCs w:val="24"/>
        </w:rPr>
      </w:r>
    </w:p>
    <w:p>
      <w:pPr>
        <w:pStyle w:val="845"/>
        <w:jc w:val="left"/>
        <w:tabs>
          <w:tab w:val="left" w:pos="6675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Майкоп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  <w:tab/>
      </w:r>
      <w:r>
        <w:rPr>
          <w:rFonts w:ascii="Times New Roman" w:hAnsi="Times New Roman" w:cs="Times New Roman"/>
          <w:sz w:val="24"/>
          <w:szCs w:val="24"/>
        </w:rPr>
        <w:t xml:space="preserve">«__</w:t>
      </w:r>
      <w:r>
        <w:rPr>
          <w:rFonts w:ascii="Times New Roman" w:hAnsi="Times New Roman" w:eastAsia="Tahoma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»___________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20__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/>
    </w:p>
    <w:p>
      <w:pPr>
        <w:pStyle w:val="8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ind w:left="0" w:right="0" w:firstLine="555"/>
        <w:jc w:val="both"/>
        <w:shd w:val="clear" w:color="auto" w:fill="auto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ООО</w:t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«Адыгейское предприятие «Вторметалл»,</w:t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именуемое</w:t>
      </w:r>
      <w:r>
        <w:rPr>
          <w:rFonts w:ascii="Times New Roman" w:hAnsi="Times New Roman" w:eastAsia="Tahoma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«Покупатель»,</w:t>
      </w:r>
      <w:r>
        <w:rPr>
          <w:rFonts w:ascii="Times New Roman" w:hAnsi="Times New Roman" w:eastAsia="Tahoma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Кравченко Владимира Дмитриевича,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eastAsia="Tahoma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Устава, с одной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стороны, и _____________________________________________,</w:t>
      </w:r>
      <w:r>
        <w:rPr>
          <w:rFonts w:ascii="Times New Roman" w:hAnsi="Times New Roman" w:eastAsia="Liberation Serif" w:cs="Times New Roman"/>
          <w:b w:val="0"/>
          <w:bCs w:val="0"/>
          <w:i w:val="0"/>
          <w:iCs w:val="0"/>
          <w:strike w:val="0"/>
          <w:color w:val="auto"/>
          <w:sz w:val="26"/>
          <w:szCs w:val="26"/>
          <w:u w:val="none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именуемое</w:t>
      </w:r>
      <w:r>
        <w:rPr>
          <w:rFonts w:ascii="Times New Roman" w:hAnsi="Times New Roman" w:eastAsia="Tahoma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«Поставщик»,</w:t>
      </w:r>
      <w:r>
        <w:rPr>
          <w:rFonts w:ascii="Times New Roman" w:hAnsi="Times New Roman" w:eastAsia="Tahoma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auto"/>
          <w:sz w:val="26"/>
          <w:szCs w:val="26"/>
          <w:u w:val="none"/>
          <w:lang w:val="ru-RU" w:bidi="ar-SA"/>
        </w:rPr>
        <w:t xml:space="preserve">_____________________________________________,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eastAsia="Tahoma" w:cs="Times New Roman"/>
          <w:sz w:val="24"/>
          <w:szCs w:val="24"/>
        </w:rPr>
        <w:t xml:space="preserve"> на</w:t>
      </w:r>
      <w:r>
        <w:rPr>
          <w:rFonts w:ascii="Times New Roman" w:hAnsi="Times New Roman" w:eastAsia="Tahoma" w:cs="Times New Roman"/>
          <w:sz w:val="24"/>
          <w:szCs w:val="24"/>
          <w:shd w:val="clear" w:color="auto" w:fill="auto"/>
        </w:rPr>
        <w:t xml:space="preserve"> </w:t>
      </w:r>
      <w:r>
        <w:rPr>
          <w:rFonts w:ascii="Times New Roman" w:hAnsi="Times New Roman" w:eastAsia="Tahoma" w:cs="Times New Roman"/>
          <w:sz w:val="24"/>
          <w:szCs w:val="24"/>
        </w:rPr>
        <w:t xml:space="preserve">основании __________________ с другой </w:t>
      </w:r>
      <w:r>
        <w:rPr>
          <w:rFonts w:ascii="Times New Roman" w:hAnsi="Times New Roman" w:cs="Times New Roman"/>
          <w:sz w:val="24"/>
          <w:szCs w:val="24"/>
        </w:rPr>
        <w:t xml:space="preserve">стороны,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заключили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настоящий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eastAsia="Tahoma" w:cs="Times New Roman"/>
          <w:sz w:val="24"/>
          <w:szCs w:val="24"/>
        </w:rPr>
        <w:t xml:space="preserve"> о нижеследующем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8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</w:t>
      </w:r>
      <w:r/>
    </w:p>
    <w:p>
      <w:pPr>
        <w:pStyle w:val="845"/>
        <w:ind w:left="555" w:right="0" w:hanging="57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sz w:val="24"/>
          <w:szCs w:val="24"/>
          <w:lang w:val="en-US"/>
        </w:rPr>
        <w:t xml:space="preserve">1.1</w:t>
        <w:tab/>
      </w:r>
      <w:r>
        <w:rPr>
          <w:rFonts w:ascii="Times New Roman" w:hAnsi="Times New Roman" w:cs="Times New Roman"/>
          <w:sz w:val="24"/>
          <w:szCs w:val="24"/>
        </w:rPr>
        <w:t xml:space="preserve">«Поставщик»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поставить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«Покупателю»,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</w:t>
      </w:r>
      <w:r>
        <w:rPr>
          <w:rFonts w:ascii="Times New Roman" w:hAnsi="Times New Roman" w:eastAsia="Tahoma" w:cs="Times New Roman"/>
          <w:sz w:val="24"/>
          <w:szCs w:val="24"/>
        </w:rPr>
        <w:t xml:space="preserve"> и оплатить  вторичные ресурсы: макулатуру, стеклобой, отходы пленки (далее «Товар») в порядке и на условиях настоящего договора.</w:t>
      </w:r>
      <w:r/>
    </w:p>
    <w:p>
      <w:pPr>
        <w:pStyle w:val="845"/>
        <w:jc w:val="left"/>
        <w:rPr>
          <w:rFonts w:ascii="Times New Roman" w:hAnsi="Times New Roman" w:eastAsia="Tahoma" w:cs="Times New Roman"/>
          <w:sz w:val="24"/>
          <w:szCs w:val="24"/>
        </w:rPr>
      </w:pPr>
      <w:r>
        <w:rPr>
          <w:rFonts w:ascii="Times New Roman" w:hAnsi="Times New Roman" w:eastAsia="Tahoma" w:cs="Times New Roman"/>
          <w:sz w:val="24"/>
          <w:szCs w:val="24"/>
        </w:rPr>
      </w:r>
      <w:r>
        <w:rPr>
          <w:rFonts w:ascii="Times New Roman" w:hAnsi="Times New Roman" w:eastAsia="Tahoma" w:cs="Times New Roman"/>
          <w:sz w:val="24"/>
          <w:szCs w:val="24"/>
        </w:rPr>
      </w:r>
      <w:r>
        <w:rPr>
          <w:rFonts w:ascii="Times New Roman" w:hAnsi="Times New Roman" w:eastAsia="Tahoma" w:cs="Times New Roman"/>
          <w:sz w:val="24"/>
          <w:szCs w:val="24"/>
        </w:rPr>
      </w:r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ПОСТАВКИ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ТОВАРА</w:t>
      </w:r>
      <w:r/>
    </w:p>
    <w:p>
      <w:pPr>
        <w:pStyle w:val="845"/>
        <w:numPr>
          <w:ilvl w:val="1"/>
          <w:numId w:val="5"/>
        </w:numPr>
        <w:ind w:left="540" w:right="0" w:hanging="570"/>
        <w:jc w:val="both"/>
        <w:tabs>
          <w:tab w:val="left" w:pos="525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Транспортировка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«Товара»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силами</w:t>
      </w:r>
      <w:r>
        <w:rPr>
          <w:rFonts w:ascii="Times New Roman" w:hAnsi="Times New Roman" w:eastAsia="Tahoma" w:cs="Times New Roman"/>
          <w:sz w:val="24"/>
          <w:szCs w:val="24"/>
        </w:rPr>
        <w:t xml:space="preserve"> и средствами </w:t>
      </w:r>
      <w:r>
        <w:rPr>
          <w:rFonts w:ascii="Times New Roman" w:hAnsi="Times New Roman" w:cs="Times New Roman"/>
          <w:sz w:val="24"/>
          <w:szCs w:val="24"/>
        </w:rPr>
        <w:t xml:space="preserve">Поставщика.</w:t>
      </w:r>
      <w:r/>
    </w:p>
    <w:p>
      <w:pPr>
        <w:pStyle w:val="845"/>
        <w:numPr>
          <w:ilvl w:val="1"/>
          <w:numId w:val="4"/>
        </w:numPr>
        <w:ind w:left="540" w:right="0" w:hanging="570"/>
        <w:jc w:val="both"/>
        <w:tabs>
          <w:tab w:val="left" w:pos="525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поставки -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склад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«Покупателя» г. Майкоп, ул. Промышленная, 18.</w:t>
      </w:r>
      <w:r/>
    </w:p>
    <w:p>
      <w:pPr>
        <w:pStyle w:val="845"/>
        <w:numPr>
          <w:ilvl w:val="1"/>
          <w:numId w:val="3"/>
        </w:numPr>
        <w:ind w:left="540" w:right="0" w:hanging="570"/>
        <w:jc w:val="both"/>
        <w:tabs>
          <w:tab w:val="left" w:pos="525" w:leader="none"/>
        </w:tabs>
      </w:pPr>
      <w:r>
        <w:rPr>
          <w:rFonts w:ascii="Times New Roman" w:hAnsi="Times New Roman" w:eastAsia="Tahoma" w:cs="Times New Roman"/>
          <w:sz w:val="24"/>
          <w:szCs w:val="24"/>
        </w:rPr>
        <w:t xml:space="preserve">Поставляемый «Товар» должен соответствовать требованиям действующего ГОСТа.</w:t>
      </w:r>
      <w:r/>
    </w:p>
    <w:p>
      <w:pPr>
        <w:pStyle w:val="845"/>
        <w:numPr>
          <w:ilvl w:val="1"/>
          <w:numId w:val="2"/>
        </w:numPr>
        <w:ind w:left="540" w:right="0" w:hanging="570"/>
        <w:jc w:val="both"/>
        <w:tabs>
          <w:tab w:val="left" w:pos="525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Количество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«Товара»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путем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взвешивания</w:t>
      </w:r>
      <w:r>
        <w:rPr>
          <w:rFonts w:ascii="Times New Roman" w:hAnsi="Times New Roman" w:eastAsia="Tahoma" w:cs="Times New Roman"/>
          <w:sz w:val="24"/>
          <w:szCs w:val="24"/>
        </w:rPr>
        <w:t xml:space="preserve"> на поверенных </w:t>
      </w:r>
      <w:r>
        <w:rPr>
          <w:rFonts w:ascii="Times New Roman" w:hAnsi="Times New Roman" w:cs="Times New Roman"/>
          <w:sz w:val="24"/>
          <w:szCs w:val="24"/>
        </w:rPr>
        <w:t xml:space="preserve">весах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склада «Покупателя»</w:t>
      </w:r>
      <w:r>
        <w:rPr>
          <w:rFonts w:ascii="Times New Roman" w:hAnsi="Times New Roman" w:eastAsia="Tahoma" w:cs="Times New Roman"/>
          <w:sz w:val="24"/>
          <w:szCs w:val="24"/>
        </w:rPr>
        <w:t xml:space="preserve"> с оформлением </w:t>
      </w:r>
      <w:r>
        <w:rPr>
          <w:rFonts w:ascii="Times New Roman" w:hAnsi="Times New Roman" w:cs="Times New Roman"/>
          <w:sz w:val="24"/>
          <w:szCs w:val="24"/>
        </w:rPr>
        <w:t xml:space="preserve">приемо-сдаточного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акта.</w:t>
      </w:r>
      <w:r/>
    </w:p>
    <w:p>
      <w:pPr>
        <w:pStyle w:val="845"/>
        <w:numPr>
          <w:ilvl w:val="1"/>
          <w:numId w:val="1"/>
        </w:numPr>
        <w:ind w:left="540" w:right="0" w:hanging="570"/>
        <w:jc w:val="both"/>
        <w:tabs>
          <w:tab w:val="left" w:pos="525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на «Товар» переходит от «Поставщика» к «Покупателю» с момента подписания приёмо-сдаточного акта на складе Покупателя.</w:t>
      </w:r>
      <w:r/>
    </w:p>
    <w:p>
      <w:pPr>
        <w:pStyle w:val="8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 w:eastAsia="Tahoma" w:cs="Times New Roman"/>
          <w:b/>
          <w:sz w:val="24"/>
          <w:szCs w:val="24"/>
          <w:lang w:val="en-US"/>
        </w:rPr>
        <w:t xml:space="preserve"> И ФОРМА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РАСЧЕТОВ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eastAsia="Tahoma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Цена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«Товар»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действующего прейскуранта на момент поставки и указывается в приёмо-сдаточном акте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 НДС.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прейскурант находится в открытом доступе и публикуется сайте предприятия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www.vtormetall.3dn.ru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sz w:val="24"/>
          <w:szCs w:val="24"/>
        </w:rPr>
        <w:t xml:space="preserve">3.2</w:t>
        <w:tab/>
      </w:r>
      <w:r>
        <w:rPr>
          <w:rFonts w:ascii="Times New Roman" w:hAnsi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оплаты -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безналичный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расчет</w:t>
      </w:r>
      <w:r>
        <w:rPr>
          <w:rFonts w:ascii="Times New Roman" w:hAnsi="Times New Roman" w:eastAsia="Tahoma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банковских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</w:t>
      </w:r>
      <w:r>
        <w:rPr>
          <w:rFonts w:ascii="Times New Roman" w:hAnsi="Times New Roman" w:eastAsia="Tahoma" w:cs="Times New Roman"/>
          <w:sz w:val="24"/>
          <w:szCs w:val="24"/>
        </w:rPr>
        <w:t xml:space="preserve"> с момент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счета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«Поставщиком»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расчёт наличными</w:t>
      </w:r>
      <w:r>
        <w:rPr>
          <w:rFonts w:ascii="Times New Roman" w:hAnsi="Times New Roman" w:eastAsia="Tahoma" w:cs="Times New Roman"/>
          <w:sz w:val="24"/>
          <w:szCs w:val="24"/>
        </w:rPr>
        <w:t xml:space="preserve"> из кассы </w:t>
      </w:r>
      <w:r>
        <w:rPr>
          <w:rFonts w:ascii="Times New Roman" w:hAnsi="Times New Roman" w:cs="Times New Roman"/>
          <w:sz w:val="24"/>
          <w:szCs w:val="24"/>
        </w:rPr>
        <w:t xml:space="preserve">«Покупателя» по факту поставки «Товара».</w:t>
      </w:r>
      <w:r/>
    </w:p>
    <w:p>
      <w:pPr>
        <w:pStyle w:val="845"/>
        <w:jc w:val="left"/>
        <w:tabs>
          <w:tab w:val="left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center"/>
        <w:tabs>
          <w:tab w:val="left" w:pos="360" w:leader="none"/>
        </w:tabs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РАЗРЕШЕНИЕ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СПОРОВ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</w:t>
        <w:tab/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неисполнения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исполнения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настоящему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Договору,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несут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ответственность,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предусмотренную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действующим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</w:t>
      </w:r>
      <w:r>
        <w:rPr>
          <w:rFonts w:ascii="Times New Roman" w:hAnsi="Times New Roman" w:eastAsia="Tahom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РФ.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en-US"/>
        </w:rPr>
        <w:t xml:space="preserve">4.2</w:t>
        <w:tab/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Все споры, возникающие между сторонами по поводу неисполнения настоящего договора, разрешаются путём переговоров. В случае невозможности разрешения споров путём переговоров, все споры и разногласия подлежат рассмотрению в Арбитражном суде.</w:t>
      </w:r>
      <w:r/>
    </w:p>
    <w:p>
      <w:pPr>
        <w:pStyle w:val="845"/>
        <w:jc w:val="left"/>
        <w:tabs>
          <w:tab w:val="left" w:pos="360" w:leader="none"/>
        </w:tabs>
        <w:rPr>
          <w:rFonts w:ascii="Times New Roman" w:hAnsi="Times New Roman" w:eastAsia="Tahoma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</w:p>
    <w:p>
      <w:pPr>
        <w:pStyle w:val="845"/>
        <w:jc w:val="center"/>
        <w:tabs>
          <w:tab w:val="left" w:pos="360" w:leader="none"/>
        </w:tabs>
      </w:pPr>
      <w:r>
        <w:rPr>
          <w:rFonts w:ascii="Times New Roman" w:hAnsi="Times New Roman" w:eastAsia="Tahoma" w:cs="Times New Roman"/>
          <w:b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. СРОК ДЕЙСТВИЯ ДОГОВОРА 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en-US"/>
        </w:rPr>
        <w:t xml:space="preserve">5.1</w:t>
        <w:tab/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Настоящий договор вступает в силу с момента его подписания сторонами и действует до 31 декабря 2026</w:t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 года. В случае, если ни одна из сторон не заявит о прекращении действия договора, он считается продлённым на следующий год.</w:t>
      </w:r>
      <w:r/>
    </w:p>
    <w:p>
      <w:pPr>
        <w:pStyle w:val="845"/>
        <w:jc w:val="left"/>
        <w:tabs>
          <w:tab w:val="left" w:pos="360" w:leader="none"/>
        </w:tabs>
        <w:rPr>
          <w:rFonts w:ascii="Times New Roman" w:hAnsi="Times New Roman" w:eastAsia="Tahoma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</w:p>
    <w:p>
      <w:pPr>
        <w:pStyle w:val="845"/>
        <w:jc w:val="center"/>
        <w:tabs>
          <w:tab w:val="left" w:pos="360" w:leader="none"/>
        </w:tabs>
      </w:pPr>
      <w:r>
        <w:rPr>
          <w:rFonts w:ascii="Times New Roman" w:hAnsi="Times New Roman" w:eastAsia="Tahoma" w:cs="Times New Roman"/>
          <w:b/>
          <w:sz w:val="24"/>
          <w:szCs w:val="24"/>
          <w:lang w:val="en-US"/>
        </w:rPr>
        <w:t xml:space="preserve">VI </w:t>
      </w:r>
      <w:r>
        <w:rPr>
          <w:rFonts w:ascii="Times New Roman" w:hAnsi="Times New Roman" w:eastAsia="Tahoma" w:cs="Times New Roman"/>
          <w:b/>
          <w:sz w:val="24"/>
          <w:szCs w:val="24"/>
          <w:lang w:val="ru-RU"/>
        </w:rPr>
        <w:t xml:space="preserve">ПРЕКРАЩЕНИЕ ДЕЙСТВИЯ ДОГОВОРА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  <w:t xml:space="preserve">6.1</w:t>
        <w:tab/>
        <w:t xml:space="preserve">Договор может быть расторгнут с согласия сторон. В случае, если согласие сторон не может быть достигнуто, договор расторгается в порядке, предусмотренным ГК РФ.</w:t>
      </w:r>
      <w:r/>
    </w:p>
    <w:p>
      <w:pPr>
        <w:pStyle w:val="845"/>
        <w:jc w:val="left"/>
        <w:tabs>
          <w:tab w:val="left" w:pos="360" w:leader="none"/>
        </w:tabs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</w:r>
    </w:p>
    <w:p>
      <w:pPr>
        <w:pStyle w:val="845"/>
        <w:jc w:val="center"/>
        <w:pageBreakBefore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ПРОЧИЕ</w:t>
      </w:r>
      <w:r>
        <w:rPr>
          <w:rFonts w:ascii="Times New Roman" w:hAnsi="Times New Roman" w:eastAsia="Tahoma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7.1</w:t>
        <w:tab/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по одному экземпляру для каждой стороны. Факсимильные экземпляры договора считаются имеющими юридическую силу до момента получения сторонами оригиналов.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7.2</w:t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 </w:t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  <w:lang w:val="ru-RU"/>
        </w:rPr>
        <w:t xml:space="preserve">Любая</w:t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 предварительная переписка или устные договорённости не имеют юридической силы.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7.3</w:t>
        <w:tab/>
        <w:t xml:space="preserve">Стороны не имеют права передавать свои права или обязанности по настоящему договору третьим лицам без письменного согласия на то другой стороны.</w:t>
      </w:r>
      <w:r/>
    </w:p>
    <w:p>
      <w:pPr>
        <w:pStyle w:val="845"/>
        <w:ind w:left="540" w:right="0" w:hanging="540"/>
        <w:jc w:val="both"/>
        <w:tabs>
          <w:tab w:val="left" w:pos="540" w:leader="none"/>
        </w:tabs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  <w:t xml:space="preserve">7.4</w:t>
        <w:tab/>
        <w:t xml:space="preserve">Стороны обязаны в течении 10 дней информировать друг друга об изменении своих юридических адресов, реквизитов, номеров факсов и телефонов.</w:t>
      </w:r>
      <w:r/>
    </w:p>
    <w:p>
      <w:pPr>
        <w:pStyle w:val="845"/>
        <w:jc w:val="left"/>
        <w:rPr>
          <w:rFonts w:ascii="Times New Roman" w:hAnsi="Times New Roman" w:eastAsia="Tahoma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ahoma" w:cs="Times New Roman"/>
          <w:b w:val="0"/>
          <w:bCs w:val="0"/>
          <w:sz w:val="24"/>
          <w:szCs w:val="24"/>
        </w:rPr>
      </w:r>
    </w:p>
    <w:p>
      <w:pPr>
        <w:pStyle w:val="845"/>
        <w:jc w:val="center"/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VIII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.</w:t>
      </w:r>
      <w:r>
        <w:t xml:space="preserve"> АДРЕСА И РЕКВИЗИТЫ СТОРОН</w:t>
      </w:r>
      <w:r/>
    </w:p>
    <w:tbl>
      <w:tblPr>
        <w:tblW w:w="0" w:type="auto"/>
        <w:tblInd w:w="-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4"/>
        <w:gridCol w:w="4640"/>
      </w:tblGrid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4" w:type="dxa"/>
            <w:vAlign w:val="top"/>
            <w:textDirection w:val="lrTb"/>
            <w:noWrap w:val="false"/>
          </w:tcPr>
          <w:p>
            <w:pPr>
              <w:pStyle w:val="845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Покупатель:</w:t>
            </w:r>
            <w:r/>
          </w:p>
          <w:p>
            <w:pPr>
              <w:pStyle w:val="845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Адыгейское предприятие«Вторметалл»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0" w:type="dxa"/>
            <w:vAlign w:val="top"/>
            <w:textDirection w:val="lrTb"/>
            <w:noWrap w:val="false"/>
          </w:tcPr>
          <w:p>
            <w:pPr>
              <w:pStyle w:val="845"/>
              <w:ind w:left="0" w:right="-545" w:firstLine="0"/>
              <w:jc w:val="center"/>
              <w:tabs>
                <w:tab w:val="left" w:pos="720" w:leader="none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Поставщик:</w:t>
            </w:r>
            <w:r/>
          </w:p>
          <w:p>
            <w:pPr>
              <w:pStyle w:val="845"/>
              <w:ind w:left="0" w:right="0" w:firstLine="555"/>
              <w:jc w:val="center"/>
              <w:shd w:val="clear" w:color="auto" w:fill="auto"/>
              <w:tabs>
                <w:tab w:val="left" w:pos="720" w:leader="none"/>
              </w:tabs>
              <w:rPr>
                <w:rFonts w:ascii="Times New Roman" w:hAnsi="Times New Roman" w:eastAsia="Liberation Serif" w:cs="Times New Roman"/>
                <w:b/>
                <w:bCs/>
                <w:i w:val="0"/>
                <w:iCs w:val="0"/>
                <w:strike w:val="0"/>
                <w:color w:val="auto"/>
                <w:sz w:val="26"/>
                <w:szCs w:val="26"/>
                <w:u w:val="none"/>
                <w:lang w:val="ru-RU" w:bidi="ar-SA"/>
              </w:rPr>
            </w:pPr>
            <w:r>
              <w:rPr>
                <w:rFonts w:ascii="Times New Roman" w:hAnsi="Times New Roman" w:eastAsia="Liberation Serif" w:cs="Times New Roman"/>
                <w:b/>
                <w:bCs/>
                <w:i w:val="0"/>
                <w:iCs w:val="0"/>
                <w:strike w:val="0"/>
                <w:color w:val="auto"/>
                <w:sz w:val="26"/>
                <w:szCs w:val="26"/>
                <w:u w:val="none"/>
                <w:lang w:val="ru-RU" w:bidi="ar-SA"/>
              </w:rPr>
            </w:r>
            <w:r>
              <w:rPr>
                <w:rFonts w:ascii="Times New Roman" w:hAnsi="Times New Roman" w:eastAsia="Liberation Serif" w:cs="Times New Roman"/>
                <w:b/>
                <w:bCs/>
                <w:i w:val="0"/>
                <w:iCs w:val="0"/>
                <w:strike w:val="0"/>
                <w:color w:val="auto"/>
                <w:sz w:val="26"/>
                <w:szCs w:val="26"/>
                <w:u w:val="none"/>
                <w:lang w:val="ru-RU" w:bidi="ar-SA"/>
              </w:rPr>
            </w:r>
            <w:r>
              <w:rPr>
                <w:rFonts w:ascii="Times New Roman" w:hAnsi="Times New Roman" w:eastAsia="Liberation Serif" w:cs="Times New Roman"/>
                <w:b/>
                <w:bCs/>
                <w:i w:val="0"/>
                <w:iCs w:val="0"/>
                <w:strike w:val="0"/>
                <w:color w:val="auto"/>
                <w:sz w:val="26"/>
                <w:szCs w:val="26"/>
                <w:u w:val="none"/>
                <w:lang w:val="ru-RU" w:bidi="ar-SA"/>
              </w:rPr>
            </w:r>
          </w:p>
        </w:tc>
      </w:tr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4" w:type="dxa"/>
            <w:vAlign w:val="top"/>
            <w:textDirection w:val="lrTb"/>
            <w:noWrap w:val="false"/>
          </w:tcPr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Юридический адрес: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385000, Республика Адыгея, г. Майкоп </w:t>
            </w:r>
            <w:r/>
          </w:p>
          <w:p>
            <w:pPr>
              <w:pStyle w:val="84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Промышленная, 18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Почтовый адрес: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385000, Республика Адыгея, г. Майкопа/я 3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40702810600890009573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Операционный офис 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«ЮГ-Инвестбанк» в г. Майкопе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30101810600000000966</w:t>
              <w:br w:type="textWrapping" w:clear="all"/>
              <w:t xml:space="preserve">БИК 040349966</w:t>
              <w:br w:type="textWrapping" w:clear="all"/>
              <w:t xml:space="preserve">ИНН 0105019383</w:t>
              <w:br w:type="textWrapping" w:clear="all"/>
              <w:t xml:space="preserve">КПП 010501001</w:t>
              <w:br w:type="textWrapping" w:clear="all"/>
              <w:t xml:space="preserve">ОКПО 16238079</w:t>
              <w:br w:type="textWrapping" w:clear="all"/>
              <w:t xml:space="preserve">Тел./факс: (8772) 53-63-97, 53-79-13</w:t>
            </w:r>
            <w:r/>
          </w:p>
          <w:p>
            <w:pPr>
              <w:pStyle w:val="8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"mailto:vtormetall@list.ru"</w:instrText>
            </w:r>
            <w:r>
              <w:fldChar w:fldCharType="separate"/>
            </w:r>
            <w:r>
              <w:rPr>
                <w:rStyle w:val="972"/>
                <w:rFonts w:ascii="Times New Roman" w:hAnsi="Times New Roman" w:cs="Times New Roman"/>
                <w:sz w:val="24"/>
                <w:szCs w:val="24"/>
              </w:rPr>
              <w:t xml:space="preserve">vtormetall@list.ru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4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Сайт: </w:t>
            </w:r>
            <w:r>
              <w:fldChar w:fldCharType="begin"/>
            </w:r>
            <w:r>
              <w:instrText xml:space="preserve"> HYPERLINK "http://www.vtormetall.3dn.ru/"</w:instrText>
            </w:r>
            <w:r>
              <w:fldChar w:fldCharType="separate"/>
            </w:r>
            <w:r>
              <w:rPr>
                <w:rStyle w:val="972"/>
                <w:rFonts w:ascii="Times New Roman" w:hAnsi="Times New Roman" w:cs="Times New Roman"/>
                <w:sz w:val="24"/>
                <w:szCs w:val="24"/>
              </w:rPr>
              <w:t xml:space="preserve">www.vtormetall.3dn.ru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0" w:type="dxa"/>
            <w:vAlign w:val="top"/>
            <w:textDirection w:val="lrTb"/>
            <w:noWrap w:val="false"/>
          </w:tcPr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Юридический адрес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br w:type="textWrapping" w:clear="all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Почтовый адрес</w:t>
              <w:br w:type="textWrapping" w:clear="all"/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  <w:br w:type="textWrapping" w:clear="all"/>
              <w:t xml:space="preserve">БИК </w:t>
              <w:br w:type="textWrapping" w:clear="all"/>
              <w:t xml:space="preserve">ИНН </w:t>
              <w:br w:type="textWrapping" w:clear="all"/>
              <w:t xml:space="preserve">КПП </w:t>
              <w:br w:type="textWrapping" w:clear="all"/>
              <w:t xml:space="preserve">ОКПО</w:t>
              <w:br w:type="textWrapping" w:clear="all"/>
              <w:t xml:space="preserve">Тел./факс: 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/>
          </w:p>
        </w:tc>
      </w:tr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4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  <w:p>
            <w:pPr>
              <w:pStyle w:val="845"/>
              <w:jc w:val="lef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В.Д. Кравченко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0" w:type="dxa"/>
            <w:vAlign w:val="top"/>
            <w:textDirection w:val="lrTb"/>
            <w:noWrap w:val="false"/>
          </w:tcPr>
          <w:p>
            <w:pPr>
              <w:pStyle w:val="845"/>
              <w:ind w:left="-18" w:right="-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5"/>
              <w:ind w:left="-33" w:right="-3" w:firstLine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</w:t>
            </w:r>
            <w:r/>
          </w:p>
        </w:tc>
      </w:tr>
      <w:tr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4" w:type="dxa"/>
            <w:vAlign w:val="top"/>
            <w:textDirection w:val="lrTb"/>
            <w:noWrap w:val="false"/>
          </w:tcPr>
          <w:p>
            <w:pPr>
              <w:pStyle w:val="84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0" w:type="dxa"/>
            <w:vAlign w:val="top"/>
            <w:textDirection w:val="lrTb"/>
            <w:noWrap w:val="false"/>
          </w:tcPr>
          <w:p>
            <w:pPr>
              <w:pStyle w:val="84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</w:t>
            </w:r>
            <w:r/>
          </w:p>
        </w:tc>
      </w:tr>
    </w:tbl>
    <w:sectPr>
      <w:footnotePr>
        <w:numRestart w:val="continuous"/>
      </w:footnotePr>
      <w:endnotePr/>
      <w:type w:val="nextPage"/>
      <w:pgSz w:w="11906" w:h="16838" w:orient="portrait"/>
      <w:pgMar w:top="567" w:right="924" w:bottom="720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">
    <w:panose1 w:val="02020603050405020304"/>
  </w:font>
  <w:font w:name="Lucida Sans Unicode">
    <w:panose1 w:val="020B060203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5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5"/>
    <w:next w:val="845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5"/>
    <w:next w:val="84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5"/>
    <w:next w:val="845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5"/>
    <w:next w:val="845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5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5"/>
    <w:next w:val="845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5"/>
    <w:next w:val="845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5"/>
    <w:next w:val="845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5"/>
    <w:next w:val="845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5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5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5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5"/>
    <w:next w:val="845"/>
    <w:uiPriority w:val="99"/>
    <w:unhideWhenUsed/>
    <w:pPr>
      <w:spacing w:after="0" w:afterAutospacing="0"/>
    </w:pPr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5" w:default="1">
    <w:name w:val="Normal"/>
    <w:next w:val="845"/>
    <w:link w:val="845"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en-US" w:bidi="ar-SA"/>
    </w:rPr>
  </w:style>
  <w:style w:type="character" w:styleId="846">
    <w:name w:val="WW8Num1z0"/>
    <w:next w:val="846"/>
    <w:link w:val="845"/>
  </w:style>
  <w:style w:type="character" w:styleId="847">
    <w:name w:val="WW8Num1z1"/>
    <w:next w:val="847"/>
    <w:link w:val="845"/>
  </w:style>
  <w:style w:type="character" w:styleId="848">
    <w:name w:val="WW8Num1z2"/>
    <w:next w:val="848"/>
    <w:link w:val="845"/>
  </w:style>
  <w:style w:type="character" w:styleId="849">
    <w:name w:val="WW8Num1z3"/>
    <w:next w:val="849"/>
    <w:link w:val="845"/>
  </w:style>
  <w:style w:type="character" w:styleId="850">
    <w:name w:val="WW8Num1z4"/>
    <w:next w:val="850"/>
    <w:link w:val="845"/>
  </w:style>
  <w:style w:type="character" w:styleId="851">
    <w:name w:val="WW8Num1z5"/>
    <w:next w:val="851"/>
    <w:link w:val="845"/>
  </w:style>
  <w:style w:type="character" w:styleId="852">
    <w:name w:val="WW8Num1z6"/>
    <w:next w:val="852"/>
    <w:link w:val="845"/>
  </w:style>
  <w:style w:type="character" w:styleId="853">
    <w:name w:val="WW8Num1z7"/>
    <w:next w:val="853"/>
    <w:link w:val="845"/>
  </w:style>
  <w:style w:type="character" w:styleId="854">
    <w:name w:val="WW8Num1z8"/>
    <w:next w:val="854"/>
    <w:link w:val="845"/>
  </w:style>
  <w:style w:type="character" w:styleId="855">
    <w:name w:val="WW8Num2z0"/>
    <w:next w:val="855"/>
    <w:link w:val="845"/>
  </w:style>
  <w:style w:type="character" w:styleId="856">
    <w:name w:val="WW8Num2z1"/>
    <w:next w:val="856"/>
    <w:link w:val="845"/>
    <w:rPr>
      <w:rFonts w:ascii="Times New Roman" w:hAnsi="Times New Roman" w:cs="Times New Roman"/>
      <w:sz w:val="24"/>
      <w:szCs w:val="24"/>
    </w:rPr>
  </w:style>
  <w:style w:type="character" w:styleId="857">
    <w:name w:val="WW8Num2z2"/>
    <w:next w:val="857"/>
    <w:link w:val="845"/>
  </w:style>
  <w:style w:type="character" w:styleId="858">
    <w:name w:val="WW8Num2z3"/>
    <w:next w:val="858"/>
    <w:link w:val="845"/>
  </w:style>
  <w:style w:type="character" w:styleId="859">
    <w:name w:val="WW8Num2z4"/>
    <w:next w:val="859"/>
    <w:link w:val="845"/>
  </w:style>
  <w:style w:type="character" w:styleId="860">
    <w:name w:val="WW8Num2z5"/>
    <w:next w:val="860"/>
    <w:link w:val="845"/>
  </w:style>
  <w:style w:type="character" w:styleId="861">
    <w:name w:val="WW8Num2z6"/>
    <w:next w:val="861"/>
    <w:link w:val="845"/>
  </w:style>
  <w:style w:type="character" w:styleId="862">
    <w:name w:val="WW8Num2z7"/>
    <w:next w:val="862"/>
    <w:link w:val="845"/>
  </w:style>
  <w:style w:type="character" w:styleId="863">
    <w:name w:val="WW8Num2z8"/>
    <w:next w:val="863"/>
    <w:link w:val="845"/>
  </w:style>
  <w:style w:type="character" w:styleId="864">
    <w:name w:val="WW8Num3z0"/>
    <w:next w:val="864"/>
    <w:link w:val="845"/>
  </w:style>
  <w:style w:type="character" w:styleId="865">
    <w:name w:val="WW8Num3z1"/>
    <w:next w:val="865"/>
    <w:link w:val="845"/>
  </w:style>
  <w:style w:type="character" w:styleId="866">
    <w:name w:val="WW8Num3z2"/>
    <w:next w:val="866"/>
    <w:link w:val="845"/>
  </w:style>
  <w:style w:type="character" w:styleId="867">
    <w:name w:val="WW8Num3z3"/>
    <w:next w:val="867"/>
    <w:link w:val="845"/>
  </w:style>
  <w:style w:type="character" w:styleId="868">
    <w:name w:val="WW8Num3z4"/>
    <w:next w:val="868"/>
  </w:style>
  <w:style w:type="character" w:styleId="869">
    <w:name w:val="WW8Num3z5"/>
    <w:next w:val="869"/>
    <w:link w:val="845"/>
  </w:style>
  <w:style w:type="character" w:styleId="870">
    <w:name w:val="WW8Num3z6"/>
    <w:next w:val="870"/>
    <w:link w:val="845"/>
  </w:style>
  <w:style w:type="character" w:styleId="871">
    <w:name w:val="WW8Num3z7"/>
    <w:next w:val="871"/>
  </w:style>
  <w:style w:type="character" w:styleId="872">
    <w:name w:val="WW8Num3z8"/>
    <w:next w:val="872"/>
  </w:style>
  <w:style w:type="character" w:styleId="873">
    <w:name w:val="WW8Num4z0"/>
    <w:next w:val="873"/>
    <w:link w:val="845"/>
  </w:style>
  <w:style w:type="character" w:styleId="874">
    <w:name w:val="WW8Num4z1"/>
    <w:next w:val="874"/>
    <w:link w:val="845"/>
    <w:rPr>
      <w:rFonts w:ascii="Times New Roman" w:hAnsi="Times New Roman" w:cs="Times New Roman"/>
      <w:sz w:val="24"/>
      <w:szCs w:val="24"/>
    </w:rPr>
  </w:style>
  <w:style w:type="character" w:styleId="875">
    <w:name w:val="WW8Num4z2"/>
    <w:next w:val="875"/>
  </w:style>
  <w:style w:type="character" w:styleId="876">
    <w:name w:val="WW8Num4z3"/>
    <w:next w:val="876"/>
    <w:link w:val="845"/>
  </w:style>
  <w:style w:type="character" w:styleId="877">
    <w:name w:val="WW8Num4z4"/>
    <w:next w:val="877"/>
    <w:link w:val="845"/>
  </w:style>
  <w:style w:type="character" w:styleId="878">
    <w:name w:val="WW8Num4z5"/>
    <w:next w:val="878"/>
    <w:link w:val="845"/>
  </w:style>
  <w:style w:type="character" w:styleId="879">
    <w:name w:val="WW8Num4z6"/>
    <w:next w:val="879"/>
    <w:link w:val="845"/>
  </w:style>
  <w:style w:type="character" w:styleId="880">
    <w:name w:val="WW8Num4z7"/>
    <w:next w:val="880"/>
  </w:style>
  <w:style w:type="character" w:styleId="881">
    <w:name w:val="WW8Num4z8"/>
    <w:next w:val="881"/>
    <w:link w:val="845"/>
  </w:style>
  <w:style w:type="character" w:styleId="882">
    <w:name w:val="WW8Num5z0"/>
    <w:next w:val="882"/>
    <w:link w:val="845"/>
  </w:style>
  <w:style w:type="character" w:styleId="883">
    <w:name w:val="WW8Num5z1"/>
    <w:next w:val="883"/>
    <w:link w:val="845"/>
    <w:rPr>
      <w:rFonts w:ascii="Times New Roman" w:hAnsi="Times New Roman" w:cs="Times New Roman"/>
      <w:sz w:val="24"/>
      <w:szCs w:val="24"/>
    </w:rPr>
  </w:style>
  <w:style w:type="character" w:styleId="884">
    <w:name w:val="WW8Num5z2"/>
    <w:next w:val="884"/>
    <w:link w:val="845"/>
  </w:style>
  <w:style w:type="character" w:styleId="885">
    <w:name w:val="WW8Num5z3"/>
    <w:next w:val="885"/>
    <w:link w:val="845"/>
  </w:style>
  <w:style w:type="character" w:styleId="886">
    <w:name w:val="WW8Num5z4"/>
    <w:next w:val="886"/>
    <w:link w:val="845"/>
  </w:style>
  <w:style w:type="character" w:styleId="887">
    <w:name w:val="WW8Num5z5"/>
    <w:next w:val="887"/>
    <w:link w:val="845"/>
  </w:style>
  <w:style w:type="character" w:styleId="888">
    <w:name w:val="WW8Num5z6"/>
    <w:next w:val="888"/>
    <w:link w:val="845"/>
  </w:style>
  <w:style w:type="character" w:styleId="889">
    <w:name w:val="WW8Num5z7"/>
    <w:next w:val="889"/>
    <w:link w:val="845"/>
  </w:style>
  <w:style w:type="character" w:styleId="890">
    <w:name w:val="WW8Num5z8"/>
    <w:next w:val="890"/>
    <w:link w:val="845"/>
  </w:style>
  <w:style w:type="character" w:styleId="891">
    <w:name w:val="WW8Num6z0"/>
    <w:next w:val="891"/>
    <w:link w:val="845"/>
  </w:style>
  <w:style w:type="character" w:styleId="892">
    <w:name w:val="WW8Num6z1"/>
    <w:next w:val="892"/>
    <w:link w:val="845"/>
  </w:style>
  <w:style w:type="character" w:styleId="893">
    <w:name w:val="WW8Num6z2"/>
    <w:next w:val="893"/>
    <w:link w:val="845"/>
  </w:style>
  <w:style w:type="character" w:styleId="894">
    <w:name w:val="WW8Num6z3"/>
    <w:next w:val="894"/>
    <w:link w:val="845"/>
  </w:style>
  <w:style w:type="character" w:styleId="895">
    <w:name w:val="WW8Num6z4"/>
    <w:next w:val="895"/>
    <w:link w:val="845"/>
  </w:style>
  <w:style w:type="character" w:styleId="896">
    <w:name w:val="WW8Num6z5"/>
    <w:next w:val="896"/>
    <w:link w:val="845"/>
  </w:style>
  <w:style w:type="character" w:styleId="897">
    <w:name w:val="WW8Num6z6"/>
    <w:next w:val="897"/>
    <w:link w:val="845"/>
  </w:style>
  <w:style w:type="character" w:styleId="898">
    <w:name w:val="WW8Num6z7"/>
    <w:next w:val="898"/>
    <w:link w:val="845"/>
  </w:style>
  <w:style w:type="character" w:styleId="899">
    <w:name w:val="WW8Num6z8"/>
    <w:next w:val="899"/>
    <w:link w:val="845"/>
  </w:style>
  <w:style w:type="character" w:styleId="900">
    <w:name w:val="Absatz-Standardschriftart"/>
    <w:next w:val="900"/>
    <w:link w:val="845"/>
  </w:style>
  <w:style w:type="character" w:styleId="901">
    <w:name w:val="WW-Absatz-Standardschriftart"/>
    <w:next w:val="901"/>
    <w:link w:val="845"/>
  </w:style>
  <w:style w:type="character" w:styleId="902">
    <w:name w:val="WW-Absatz-Standardschriftart1"/>
    <w:next w:val="902"/>
    <w:link w:val="845"/>
  </w:style>
  <w:style w:type="character" w:styleId="903">
    <w:name w:val="WW-Absatz-Standardschriftart11"/>
    <w:next w:val="903"/>
    <w:link w:val="845"/>
  </w:style>
  <w:style w:type="character" w:styleId="904">
    <w:name w:val="WW-Absatz-Standardschriftart111"/>
    <w:next w:val="904"/>
    <w:link w:val="845"/>
  </w:style>
  <w:style w:type="character" w:styleId="905">
    <w:name w:val="WW-Absatz-Standardschriftart1111"/>
    <w:next w:val="905"/>
    <w:link w:val="845"/>
  </w:style>
  <w:style w:type="character" w:styleId="906">
    <w:name w:val="WW-Absatz-Standardschriftart11111"/>
    <w:next w:val="906"/>
    <w:link w:val="845"/>
  </w:style>
  <w:style w:type="character" w:styleId="907">
    <w:name w:val="WW-Absatz-Standardschriftart111111"/>
    <w:next w:val="907"/>
    <w:link w:val="845"/>
  </w:style>
  <w:style w:type="character" w:styleId="908">
    <w:name w:val="WW-Absatz-Standardschriftart1111111"/>
    <w:next w:val="908"/>
    <w:link w:val="845"/>
  </w:style>
  <w:style w:type="character" w:styleId="909">
    <w:name w:val="WW-Absatz-Standardschriftart11111111"/>
    <w:next w:val="909"/>
    <w:link w:val="845"/>
  </w:style>
  <w:style w:type="character" w:styleId="910">
    <w:name w:val="WW-Absatz-Standardschriftart111111111"/>
    <w:next w:val="910"/>
    <w:link w:val="845"/>
  </w:style>
  <w:style w:type="character" w:styleId="911">
    <w:name w:val="WW-Absatz-Standardschriftart1111111111"/>
    <w:next w:val="911"/>
    <w:link w:val="845"/>
  </w:style>
  <w:style w:type="character" w:styleId="912">
    <w:name w:val="WW-Absatz-Standardschriftart11111111111"/>
    <w:next w:val="912"/>
    <w:link w:val="845"/>
  </w:style>
  <w:style w:type="character" w:styleId="913">
    <w:name w:val="WW-Absatz-Standardschriftart111111111111"/>
    <w:next w:val="913"/>
    <w:link w:val="845"/>
  </w:style>
  <w:style w:type="character" w:styleId="914">
    <w:name w:val="WW-Absatz-Standardschriftart1111111111111"/>
    <w:next w:val="914"/>
    <w:link w:val="845"/>
  </w:style>
  <w:style w:type="character" w:styleId="915">
    <w:name w:val="WW-Absatz-Standardschriftart11111111111111"/>
    <w:next w:val="915"/>
    <w:link w:val="845"/>
  </w:style>
  <w:style w:type="character" w:styleId="916">
    <w:name w:val="WW-Absatz-Standardschriftart111111111111111"/>
    <w:next w:val="916"/>
    <w:link w:val="845"/>
  </w:style>
  <w:style w:type="character" w:styleId="917">
    <w:name w:val="WW-Absatz-Standardschriftart1111111111111111"/>
    <w:next w:val="917"/>
    <w:link w:val="845"/>
  </w:style>
  <w:style w:type="character" w:styleId="918">
    <w:name w:val="WW-Absatz-Standardschriftart11111111111111111"/>
    <w:next w:val="918"/>
    <w:link w:val="845"/>
  </w:style>
  <w:style w:type="character" w:styleId="919">
    <w:name w:val="WW-Absatz-Standardschriftart111111111111111111"/>
    <w:next w:val="919"/>
    <w:link w:val="845"/>
  </w:style>
  <w:style w:type="character" w:styleId="920">
    <w:name w:val="WW-Absatz-Standardschriftart1111111111111111111"/>
    <w:next w:val="920"/>
    <w:link w:val="845"/>
  </w:style>
  <w:style w:type="character" w:styleId="921">
    <w:name w:val="WW-Absatz-Standardschriftart11111111111111111111"/>
    <w:next w:val="921"/>
    <w:link w:val="845"/>
  </w:style>
  <w:style w:type="character" w:styleId="922">
    <w:name w:val="WW-Absatz-Standardschriftart111111111111111111111"/>
    <w:next w:val="922"/>
    <w:link w:val="845"/>
  </w:style>
  <w:style w:type="character" w:styleId="923">
    <w:name w:val="WW-Absatz-Standardschriftart1111111111111111111111"/>
    <w:next w:val="923"/>
    <w:link w:val="845"/>
  </w:style>
  <w:style w:type="character" w:styleId="924">
    <w:name w:val="WW-Absatz-Standardschriftart11111111111111111111111"/>
    <w:next w:val="924"/>
    <w:link w:val="845"/>
  </w:style>
  <w:style w:type="character" w:styleId="925">
    <w:name w:val="WW-Absatz-Standardschriftart111111111111111111111111"/>
    <w:next w:val="925"/>
    <w:link w:val="845"/>
  </w:style>
  <w:style w:type="character" w:styleId="926">
    <w:name w:val="WW-Absatz-Standardschriftart1111111111111111111111111"/>
    <w:next w:val="926"/>
    <w:link w:val="845"/>
  </w:style>
  <w:style w:type="character" w:styleId="927">
    <w:name w:val="WW-Absatz-Standardschriftart11111111111111111111111111"/>
    <w:next w:val="927"/>
    <w:link w:val="845"/>
  </w:style>
  <w:style w:type="character" w:styleId="928">
    <w:name w:val="WW-Absatz-Standardschriftart111111111111111111111111111"/>
    <w:next w:val="928"/>
    <w:link w:val="845"/>
  </w:style>
  <w:style w:type="character" w:styleId="929">
    <w:name w:val="WW-Absatz-Standardschriftart1111111111111111111111111111"/>
    <w:next w:val="929"/>
    <w:link w:val="845"/>
  </w:style>
  <w:style w:type="character" w:styleId="930">
    <w:name w:val="WW-Absatz-Standardschriftart11111111111111111111111111111"/>
    <w:next w:val="930"/>
    <w:link w:val="845"/>
  </w:style>
  <w:style w:type="character" w:styleId="931">
    <w:name w:val="WW-Absatz-Standardschriftart111111111111111111111111111111"/>
    <w:next w:val="931"/>
    <w:link w:val="845"/>
  </w:style>
  <w:style w:type="character" w:styleId="932">
    <w:name w:val="WW-Absatz-Standardschriftart1111111111111111111111111111111"/>
    <w:next w:val="932"/>
    <w:link w:val="845"/>
  </w:style>
  <w:style w:type="character" w:styleId="933">
    <w:name w:val="WW-Absatz-Standardschriftart11111111111111111111111111111111"/>
    <w:next w:val="933"/>
    <w:link w:val="845"/>
  </w:style>
  <w:style w:type="character" w:styleId="934">
    <w:name w:val="WW-Absatz-Standardschriftart111111111111111111111111111111111"/>
    <w:next w:val="934"/>
    <w:link w:val="845"/>
  </w:style>
  <w:style w:type="character" w:styleId="935">
    <w:name w:val="WW-Absatz-Standardschriftart1111111111111111111111111111111111"/>
    <w:next w:val="935"/>
  </w:style>
  <w:style w:type="character" w:styleId="936">
    <w:name w:val="WW-Absatz-Standardschriftart11111111111111111111111111111111111"/>
    <w:next w:val="936"/>
  </w:style>
  <w:style w:type="character" w:styleId="937">
    <w:name w:val="WW-Absatz-Standardschriftart111111111111111111111111111111111111"/>
    <w:next w:val="937"/>
    <w:link w:val="845"/>
  </w:style>
  <w:style w:type="character" w:styleId="938">
    <w:name w:val="WW-Absatz-Standardschriftart1111111111111111111111111111111111111"/>
    <w:next w:val="938"/>
  </w:style>
  <w:style w:type="character" w:styleId="939">
    <w:name w:val="WW-Absatz-Standardschriftart11111111111111111111111111111111111111"/>
    <w:next w:val="939"/>
  </w:style>
  <w:style w:type="character" w:styleId="940">
    <w:name w:val="WW-Absatz-Standardschriftart111111111111111111111111111111111111111"/>
    <w:next w:val="940"/>
  </w:style>
  <w:style w:type="character" w:styleId="941">
    <w:name w:val="WW-Absatz-Standardschriftart1111111111111111111111111111111111111111"/>
    <w:next w:val="941"/>
  </w:style>
  <w:style w:type="character" w:styleId="942">
    <w:name w:val="WW-Absatz-Standardschriftart11111111111111111111111111111111111111111"/>
    <w:next w:val="942"/>
  </w:style>
  <w:style w:type="character" w:styleId="943">
    <w:name w:val="WW-Absatz-Standardschriftart111111111111111111111111111111111111111111"/>
    <w:next w:val="943"/>
    <w:link w:val="845"/>
  </w:style>
  <w:style w:type="character" w:styleId="944">
    <w:name w:val="WW-Absatz-Standardschriftart1111111111111111111111111111111111111111111"/>
    <w:next w:val="944"/>
    <w:link w:val="845"/>
  </w:style>
  <w:style w:type="character" w:styleId="945">
    <w:name w:val="WW-Absatz-Standardschriftart11111111111111111111111111111111111111111111"/>
    <w:next w:val="945"/>
  </w:style>
  <w:style w:type="character" w:styleId="946">
    <w:name w:val="WW-Absatz-Standardschriftart111111111111111111111111111111111111111111111"/>
    <w:next w:val="946"/>
    <w:link w:val="845"/>
  </w:style>
  <w:style w:type="character" w:styleId="947">
    <w:name w:val="WW-Absatz-Standardschriftart1111111111111111111111111111111111111111111111"/>
    <w:next w:val="947"/>
    <w:link w:val="845"/>
  </w:style>
  <w:style w:type="character" w:styleId="948">
    <w:name w:val="WW-Absatz-Standardschriftart11111111111111111111111111111111111111111111111"/>
    <w:next w:val="948"/>
    <w:link w:val="845"/>
  </w:style>
  <w:style w:type="character" w:styleId="949">
    <w:name w:val="WW-Absatz-Standardschriftart111111111111111111111111111111111111111111111111"/>
    <w:next w:val="949"/>
    <w:link w:val="845"/>
  </w:style>
  <w:style w:type="character" w:styleId="950">
    <w:name w:val="WW-Absatz-Standardschriftart1111111111111111111111111111111111111111111111111"/>
    <w:next w:val="950"/>
    <w:link w:val="845"/>
  </w:style>
  <w:style w:type="character" w:styleId="951">
    <w:name w:val="WW-Absatz-Standardschriftart11111111111111111111111111111111111111111111111111"/>
    <w:next w:val="951"/>
    <w:link w:val="845"/>
  </w:style>
  <w:style w:type="character" w:styleId="952">
    <w:name w:val="WW-Absatz-Standardschriftart111111111111111111111111111111111111111111111111111"/>
    <w:next w:val="952"/>
    <w:link w:val="845"/>
  </w:style>
  <w:style w:type="character" w:styleId="953">
    <w:name w:val="WW-Absatz-Standardschriftart1111111111111111111111111111111111111111111111111111"/>
    <w:next w:val="953"/>
    <w:link w:val="845"/>
  </w:style>
  <w:style w:type="character" w:styleId="954">
    <w:name w:val="WW-Absatz-Standardschriftart11111111111111111111111111111111111111111111111111111"/>
    <w:next w:val="954"/>
    <w:link w:val="845"/>
  </w:style>
  <w:style w:type="character" w:styleId="955">
    <w:name w:val="WW-Absatz-Standardschriftart111111111111111111111111111111111111111111111111111111"/>
    <w:next w:val="955"/>
    <w:link w:val="845"/>
  </w:style>
  <w:style w:type="character" w:styleId="956">
    <w:name w:val="WW-Absatz-Standardschriftart1111111111111111111111111111111111111111111111111111111"/>
    <w:next w:val="956"/>
    <w:link w:val="845"/>
  </w:style>
  <w:style w:type="character" w:styleId="957">
    <w:name w:val="WW-Absatz-Standardschriftart11111111111111111111111111111111111111111111111111111111"/>
    <w:next w:val="957"/>
    <w:link w:val="845"/>
  </w:style>
  <w:style w:type="character" w:styleId="958">
    <w:name w:val="WW-Absatz-Standardschriftart111111111111111111111111111111111111111111111111111111111"/>
    <w:next w:val="958"/>
    <w:link w:val="845"/>
  </w:style>
  <w:style w:type="character" w:styleId="959">
    <w:name w:val="WW-Absatz-Standardschriftart1111111111111111111111111111111111111111111111111111111111"/>
    <w:next w:val="959"/>
    <w:link w:val="845"/>
  </w:style>
  <w:style w:type="character" w:styleId="960">
    <w:name w:val="WW-Absatz-Standardschriftart11111111111111111111111111111111111111111111111111111111111"/>
    <w:next w:val="960"/>
    <w:link w:val="845"/>
  </w:style>
  <w:style w:type="character" w:styleId="961">
    <w:name w:val="WW8Num7z1"/>
    <w:next w:val="961"/>
    <w:link w:val="845"/>
    <w:rPr>
      <w:sz w:val="24"/>
    </w:rPr>
  </w:style>
  <w:style w:type="character" w:styleId="962">
    <w:name w:val="WW8Num11z0"/>
    <w:next w:val="962"/>
    <w:link w:val="845"/>
    <w:rPr>
      <w:sz w:val="24"/>
    </w:rPr>
  </w:style>
  <w:style w:type="character" w:styleId="963">
    <w:name w:val="WW8Num11z1"/>
    <w:next w:val="963"/>
    <w:link w:val="845"/>
    <w:rPr>
      <w:rFonts w:ascii="Times New Roman" w:hAnsi="Times New Roman" w:eastAsia="Times New Roman" w:cs="Times New Roman"/>
      <w:sz w:val="24"/>
    </w:rPr>
  </w:style>
  <w:style w:type="character" w:styleId="964">
    <w:name w:val="WW8Num14z0"/>
    <w:next w:val="964"/>
    <w:link w:val="845"/>
    <w:rPr>
      <w:sz w:val="24"/>
    </w:rPr>
  </w:style>
  <w:style w:type="character" w:styleId="965">
    <w:name w:val="WW8Num14z1"/>
    <w:next w:val="965"/>
    <w:link w:val="845"/>
    <w:rPr>
      <w:rFonts w:ascii="Times New Roman" w:hAnsi="Times New Roman" w:eastAsia="Times New Roman" w:cs="Times New Roman"/>
      <w:sz w:val="24"/>
    </w:rPr>
  </w:style>
  <w:style w:type="character" w:styleId="966">
    <w:name w:val="WW8Num15z0"/>
    <w:next w:val="966"/>
    <w:link w:val="845"/>
    <w:rPr>
      <w:rFonts w:ascii="Times New Roman" w:hAnsi="Times New Roman" w:eastAsia="Times New Roman" w:cs="Times New Roman"/>
      <w:sz w:val="24"/>
    </w:rPr>
  </w:style>
  <w:style w:type="character" w:styleId="967">
    <w:name w:val="WW8Num15z2"/>
    <w:next w:val="967"/>
    <w:link w:val="845"/>
    <w:rPr>
      <w:sz w:val="24"/>
    </w:rPr>
  </w:style>
  <w:style w:type="character" w:styleId="968">
    <w:name w:val="Основной шрифт абзаца"/>
    <w:next w:val="968"/>
    <w:link w:val="845"/>
  </w:style>
  <w:style w:type="character" w:styleId="969">
    <w:name w:val="WW8Num10z1"/>
    <w:next w:val="969"/>
    <w:link w:val="845"/>
    <w:rPr>
      <w:sz w:val="24"/>
    </w:rPr>
  </w:style>
  <w:style w:type="character" w:styleId="970">
    <w:name w:val="Основной шрифт абзаца1"/>
    <w:next w:val="970"/>
    <w:link w:val="845"/>
  </w:style>
  <w:style w:type="character" w:styleId="971">
    <w:name w:val="Символ нумерации"/>
    <w:next w:val="971"/>
    <w:link w:val="845"/>
  </w:style>
  <w:style w:type="character" w:styleId="972">
    <w:name w:val="Интернет-ссылка"/>
    <w:next w:val="972"/>
    <w:link w:val="845"/>
    <w:rPr>
      <w:color w:val="000080"/>
      <w:u w:val="single"/>
      <w:lang w:val="en-US" w:eastAsia="en-US" w:bidi="en-US"/>
    </w:rPr>
  </w:style>
  <w:style w:type="paragraph" w:styleId="973">
    <w:name w:val="Заголовок"/>
    <w:basedOn w:val="845"/>
    <w:next w:val="974"/>
    <w:link w:val="84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74">
    <w:name w:val="Основной текст"/>
    <w:basedOn w:val="845"/>
    <w:next w:val="974"/>
    <w:link w:val="845"/>
    <w:pPr>
      <w:spacing w:before="0" w:after="120"/>
    </w:pPr>
  </w:style>
  <w:style w:type="paragraph" w:styleId="975">
    <w:name w:val="Список"/>
    <w:basedOn w:val="974"/>
    <w:next w:val="975"/>
    <w:link w:val="845"/>
    <w:rPr>
      <w:rFonts w:ascii="Arial" w:hAnsi="Arial" w:cs="Tahoma"/>
    </w:rPr>
  </w:style>
  <w:style w:type="paragraph" w:styleId="976">
    <w:name w:val="Название"/>
    <w:basedOn w:val="845"/>
    <w:next w:val="976"/>
    <w:link w:val="845"/>
    <w:pPr>
      <w:spacing w:before="120" w:after="120"/>
      <w:suppressLineNumbers/>
    </w:pPr>
    <w:rPr>
      <w:rFonts w:ascii="Times" w:hAnsi="Times" w:cs="Tahoma"/>
      <w:i/>
      <w:iCs/>
      <w:sz w:val="24"/>
      <w:szCs w:val="24"/>
    </w:rPr>
  </w:style>
  <w:style w:type="paragraph" w:styleId="977">
    <w:name w:val="Указатель"/>
    <w:basedOn w:val="845"/>
    <w:next w:val="977"/>
    <w:link w:val="845"/>
    <w:pPr>
      <w:suppressLineNumbers/>
    </w:pPr>
    <w:rPr>
      <w:rFonts w:ascii="Times" w:hAnsi="Times" w:cs="Tahoma"/>
    </w:rPr>
  </w:style>
  <w:style w:type="paragraph" w:styleId="978">
    <w:name w:val="Название1"/>
    <w:basedOn w:val="845"/>
    <w:next w:val="978"/>
    <w:link w:val="845"/>
    <w:pPr>
      <w:spacing w:before="120" w:after="120"/>
      <w:suppressLineNumbers/>
    </w:pPr>
    <w:rPr>
      <w:rFonts w:ascii="Arial" w:hAnsi="Arial" w:cs="Tahoma"/>
      <w:i/>
      <w:iCs/>
      <w:sz w:val="24"/>
      <w:szCs w:val="24"/>
    </w:rPr>
  </w:style>
  <w:style w:type="paragraph" w:styleId="979">
    <w:name w:val="Указатель1"/>
    <w:basedOn w:val="845"/>
    <w:next w:val="979"/>
    <w:link w:val="845"/>
    <w:pPr>
      <w:suppressLineNumbers/>
    </w:pPr>
    <w:rPr>
      <w:rFonts w:ascii="Arial" w:hAnsi="Arial" w:cs="Tahoma"/>
    </w:rPr>
  </w:style>
  <w:style w:type="paragraph" w:styleId="980">
    <w:name w:val="Текст выноски"/>
    <w:basedOn w:val="845"/>
    <w:next w:val="980"/>
    <w:link w:val="845"/>
    <w:rPr>
      <w:rFonts w:ascii="Tahoma" w:hAnsi="Tahoma" w:cs="Tahoma"/>
      <w:sz w:val="16"/>
      <w:szCs w:val="16"/>
    </w:rPr>
  </w:style>
  <w:style w:type="paragraph" w:styleId="981">
    <w:name w:val="Содержимое таблицы"/>
    <w:basedOn w:val="845"/>
    <w:next w:val="981"/>
    <w:link w:val="845"/>
    <w:pPr>
      <w:suppressLineNumbers/>
    </w:pPr>
  </w:style>
  <w:style w:type="paragraph" w:styleId="982">
    <w:name w:val="Заголовок таблицы"/>
    <w:basedOn w:val="981"/>
    <w:next w:val="982"/>
    <w:link w:val="845"/>
    <w:pPr>
      <w:jc w:val="center"/>
      <w:suppressLineNumbers/>
    </w:pPr>
    <w:rPr>
      <w:b/>
      <w:bCs/>
    </w:rPr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олр</dc:title>
  <dc:creator>Администратор</dc:creator>
  <cp:revision>17</cp:revision>
  <dcterms:created xsi:type="dcterms:W3CDTF">1987-12-31T21:12:00Z</dcterms:created>
  <dcterms:modified xsi:type="dcterms:W3CDTF">2026-01-12T00:15:57Z</dcterms:modified>
</cp:coreProperties>
</file>